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E0" w:rsidRDefault="009A38E0" w:rsidP="009A38E0">
      <w:pPr>
        <w:spacing w:before="100" w:beforeAutospacing="1" w:after="300" w:line="300" w:lineRule="atLeast"/>
        <w:rPr>
          <w:rFonts w:ascii="Helvetica" w:eastAsia="Times New Roman" w:hAnsi="Helvetica" w:cs="Helvetica"/>
          <w:color w:val="333333"/>
          <w:sz w:val="20"/>
          <w:szCs w:val="20"/>
          <w:lang w:eastAsia="en-GB"/>
        </w:rPr>
      </w:pPr>
      <w:r>
        <w:rPr>
          <w:noProof/>
          <w:lang w:eastAsia="en-GB"/>
        </w:rPr>
        <w:drawing>
          <wp:inline distT="0" distB="0" distL="0" distR="0" wp14:anchorId="5E99976E" wp14:editId="45533B24">
            <wp:extent cx="1389600" cy="723600"/>
            <wp:effectExtent l="0" t="0" r="1270" b="635"/>
            <wp:docPr id="1" name="Picture 1" descr="C:\Users\jo.RDCS\AppData\Local\Microsoft\Windows\Temporary Internet Files\Content.Outlook\XY0MJCQ3\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CS\AppData\Local\Microsoft\Windows\Temporary Internet Files\Content.Outlook\XY0MJCQ3\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9600" cy="723600"/>
                    </a:xfrm>
                    <a:prstGeom prst="rect">
                      <a:avLst/>
                    </a:prstGeom>
                    <a:noFill/>
                    <a:ln>
                      <a:noFill/>
                    </a:ln>
                  </pic:spPr>
                </pic:pic>
              </a:graphicData>
            </a:graphic>
          </wp:inline>
        </w:drawing>
      </w:r>
    </w:p>
    <w:p w:rsidR="009A38E0" w:rsidRPr="009A38E0" w:rsidRDefault="009A38E0" w:rsidP="009A38E0">
      <w:pPr>
        <w:spacing w:before="100" w:beforeAutospacing="1" w:after="300" w:line="300" w:lineRule="atLeast"/>
        <w:rPr>
          <w:rFonts w:eastAsia="Times New Roman" w:cs="Helvetica"/>
          <w:color w:val="333333"/>
          <w:sz w:val="24"/>
          <w:szCs w:val="24"/>
          <w:lang w:eastAsia="en-GB"/>
        </w:rPr>
      </w:pPr>
      <w:r w:rsidRPr="009A38E0">
        <w:rPr>
          <w:rFonts w:eastAsia="Times New Roman" w:cs="Helvetica"/>
          <w:color w:val="333333"/>
          <w:sz w:val="24"/>
          <w:szCs w:val="24"/>
          <w:lang w:eastAsia="en-GB"/>
        </w:rPr>
        <w:t xml:space="preserve">The inheritance tax residence nil rate band (RNRB) </w:t>
      </w:r>
      <w:r w:rsidRPr="005229C4">
        <w:rPr>
          <w:rFonts w:eastAsia="Times New Roman" w:cs="Helvetica"/>
          <w:color w:val="333333"/>
          <w:sz w:val="24"/>
          <w:szCs w:val="24"/>
          <w:lang w:eastAsia="en-GB"/>
        </w:rPr>
        <w:t>is now in force</w:t>
      </w:r>
      <w:r w:rsidRPr="009A38E0">
        <w:rPr>
          <w:rFonts w:eastAsia="Times New Roman" w:cs="Helvetica"/>
          <w:color w:val="333333"/>
          <w:sz w:val="24"/>
          <w:szCs w:val="24"/>
          <w:lang w:eastAsia="en-GB"/>
        </w:rPr>
        <w:t xml:space="preserve">. </w:t>
      </w:r>
      <w:r w:rsidR="00100B15" w:rsidRPr="005229C4">
        <w:rPr>
          <w:rFonts w:eastAsia="Times New Roman" w:cs="Helvetica"/>
          <w:color w:val="333333"/>
          <w:sz w:val="24"/>
          <w:szCs w:val="24"/>
          <w:lang w:eastAsia="en-GB"/>
        </w:rPr>
        <w:t>What is it</w:t>
      </w:r>
      <w:r w:rsidR="00540D1F" w:rsidRPr="005229C4">
        <w:rPr>
          <w:rFonts w:eastAsia="Times New Roman" w:cs="Helvetica"/>
          <w:color w:val="333333"/>
          <w:sz w:val="24"/>
          <w:szCs w:val="24"/>
          <w:lang w:eastAsia="en-GB"/>
        </w:rPr>
        <w:t>,</w:t>
      </w:r>
      <w:r w:rsidR="00100B15" w:rsidRPr="005229C4">
        <w:rPr>
          <w:rFonts w:eastAsia="Times New Roman" w:cs="Helvetica"/>
          <w:color w:val="333333"/>
          <w:sz w:val="24"/>
          <w:szCs w:val="24"/>
          <w:lang w:eastAsia="en-GB"/>
        </w:rPr>
        <w:t xml:space="preserve"> and how does it affect you</w:t>
      </w:r>
      <w:r w:rsidR="005229C4">
        <w:rPr>
          <w:rFonts w:eastAsia="Times New Roman" w:cs="Helvetica"/>
          <w:color w:val="333333"/>
          <w:sz w:val="24"/>
          <w:szCs w:val="24"/>
          <w:lang w:eastAsia="en-GB"/>
        </w:rPr>
        <w:t xml:space="preserve"> and your family</w:t>
      </w:r>
      <w:r w:rsidR="00100B15" w:rsidRPr="005229C4">
        <w:rPr>
          <w:rFonts w:eastAsia="Times New Roman" w:cs="Helvetica"/>
          <w:color w:val="333333"/>
          <w:sz w:val="24"/>
          <w:szCs w:val="24"/>
          <w:lang w:eastAsia="en-GB"/>
        </w:rPr>
        <w:t>?</w:t>
      </w:r>
    </w:p>
    <w:p w:rsidR="009A38E0" w:rsidRPr="009A38E0" w:rsidRDefault="009A38E0" w:rsidP="009A38E0">
      <w:pPr>
        <w:spacing w:before="100" w:beforeAutospacing="1" w:after="300" w:line="375" w:lineRule="atLeast"/>
        <w:outlineLvl w:val="2"/>
        <w:rPr>
          <w:rFonts w:eastAsia="Times New Roman" w:cs="Helvetica"/>
          <w:b/>
          <w:bCs/>
          <w:color w:val="1F4E79" w:themeColor="accent1" w:themeShade="80"/>
          <w:sz w:val="27"/>
          <w:szCs w:val="27"/>
          <w:lang w:eastAsia="en-GB"/>
        </w:rPr>
      </w:pPr>
      <w:r w:rsidRPr="009A38E0">
        <w:rPr>
          <w:rFonts w:eastAsia="Times New Roman" w:cs="Helvetica"/>
          <w:b/>
          <w:bCs/>
          <w:color w:val="1F4E79" w:themeColor="accent1" w:themeShade="80"/>
          <w:sz w:val="27"/>
          <w:szCs w:val="27"/>
          <w:lang w:eastAsia="en-GB"/>
        </w:rPr>
        <w:t>Inheritance tax saving</w:t>
      </w:r>
    </w:p>
    <w:p w:rsidR="009A38E0" w:rsidRPr="009A38E0" w:rsidRDefault="009A38E0" w:rsidP="006B7059">
      <w:pPr>
        <w:spacing w:before="100" w:beforeAutospacing="1" w:after="300" w:line="276" w:lineRule="auto"/>
        <w:rPr>
          <w:rFonts w:eastAsia="Times New Roman" w:cs="Helvetica"/>
          <w:color w:val="333333"/>
          <w:sz w:val="24"/>
          <w:szCs w:val="24"/>
          <w:lang w:eastAsia="en-GB"/>
        </w:rPr>
      </w:pPr>
      <w:r w:rsidRPr="009A38E0">
        <w:rPr>
          <w:rFonts w:eastAsia="Times New Roman" w:cs="Helvetica"/>
          <w:color w:val="333333"/>
          <w:sz w:val="24"/>
          <w:szCs w:val="24"/>
          <w:lang w:eastAsia="en-GB"/>
        </w:rPr>
        <w:t xml:space="preserve">In this tax year </w:t>
      </w:r>
      <w:r w:rsidR="00100B15" w:rsidRPr="00A2538E">
        <w:rPr>
          <w:rFonts w:eastAsia="Times New Roman" w:cs="Helvetica"/>
          <w:color w:val="333333"/>
          <w:sz w:val="24"/>
          <w:szCs w:val="24"/>
          <w:lang w:eastAsia="en-GB"/>
        </w:rPr>
        <w:t xml:space="preserve">(2017/2018) </w:t>
      </w:r>
      <w:r w:rsidRPr="009A38E0">
        <w:rPr>
          <w:rFonts w:eastAsia="Times New Roman" w:cs="Helvetica"/>
          <w:color w:val="333333"/>
          <w:sz w:val="24"/>
          <w:szCs w:val="24"/>
          <w:lang w:eastAsia="en-GB"/>
        </w:rPr>
        <w:t xml:space="preserve">if you comply with the necessary requirements the RNRB will save an individual up to £40,000 of </w:t>
      </w:r>
      <w:r w:rsidRPr="00A2538E">
        <w:rPr>
          <w:rFonts w:eastAsia="Times New Roman" w:cs="Helvetica"/>
          <w:color w:val="333333"/>
          <w:sz w:val="24"/>
          <w:szCs w:val="24"/>
          <w:lang w:eastAsia="en-GB"/>
        </w:rPr>
        <w:t xml:space="preserve">inheritance tax </w:t>
      </w:r>
      <w:r w:rsidRPr="009A38E0">
        <w:rPr>
          <w:rFonts w:eastAsia="Times New Roman" w:cs="Helvetica"/>
          <w:color w:val="333333"/>
          <w:sz w:val="24"/>
          <w:szCs w:val="24"/>
          <w:lang w:eastAsia="en-GB"/>
        </w:rPr>
        <w:t>and a married couple (or a couple in a civil partnership) up to £80,000.</w:t>
      </w:r>
    </w:p>
    <w:p w:rsidR="00100B15" w:rsidRPr="00A2538E" w:rsidRDefault="009A38E0" w:rsidP="006B7059">
      <w:pPr>
        <w:spacing w:before="100" w:beforeAutospacing="1" w:after="300" w:line="276" w:lineRule="auto"/>
        <w:rPr>
          <w:rFonts w:eastAsia="Times New Roman" w:cs="Helvetica"/>
          <w:color w:val="333333"/>
          <w:sz w:val="24"/>
          <w:szCs w:val="24"/>
          <w:lang w:eastAsia="en-GB"/>
        </w:rPr>
      </w:pPr>
      <w:r w:rsidRPr="009A38E0">
        <w:rPr>
          <w:rFonts w:eastAsia="Times New Roman" w:cs="Helvetica"/>
          <w:color w:val="333333"/>
          <w:sz w:val="24"/>
          <w:szCs w:val="24"/>
          <w:lang w:eastAsia="en-GB"/>
        </w:rPr>
        <w:t xml:space="preserve">To </w:t>
      </w:r>
      <w:r w:rsidR="00E218C1" w:rsidRPr="00A2538E">
        <w:rPr>
          <w:rFonts w:eastAsia="Times New Roman" w:cs="Helvetica"/>
          <w:color w:val="333333"/>
          <w:sz w:val="24"/>
          <w:szCs w:val="24"/>
          <w:lang w:eastAsia="en-GB"/>
        </w:rPr>
        <w:t>qualify for the RNRB</w:t>
      </w:r>
      <w:r w:rsidRPr="009A38E0">
        <w:rPr>
          <w:rFonts w:eastAsia="Times New Roman" w:cs="Helvetica"/>
          <w:color w:val="333333"/>
          <w:sz w:val="24"/>
          <w:szCs w:val="24"/>
          <w:lang w:eastAsia="en-GB"/>
        </w:rPr>
        <w:t xml:space="preserve">, on your death you must leave a residential property which you have occupied at some point to your “lineal descendants”. Lineal descendants are your children and grandchildren and their spouses and civil partners and include adopted, foster and step-children. </w:t>
      </w:r>
      <w:r w:rsidR="00100B15" w:rsidRPr="00A2538E">
        <w:rPr>
          <w:rFonts w:cs="Helvetica"/>
          <w:color w:val="333333"/>
          <w:sz w:val="24"/>
          <w:szCs w:val="24"/>
        </w:rPr>
        <w:t xml:space="preserve">It also includes </w:t>
      </w:r>
      <w:r w:rsidR="00100B15" w:rsidRPr="00A2538E">
        <w:rPr>
          <w:rFonts w:cs="Helvetica"/>
          <w:color w:val="333333"/>
          <w:sz w:val="24"/>
          <w:szCs w:val="24"/>
        </w:rPr>
        <w:t>the spouse or civil partner, or surviving spouse or civil partner (who has not re-married), of lineal descendants.</w:t>
      </w:r>
    </w:p>
    <w:p w:rsidR="009A38E0" w:rsidRPr="009A38E0" w:rsidRDefault="009A38E0" w:rsidP="006B7059">
      <w:pPr>
        <w:spacing w:before="100" w:beforeAutospacing="1" w:after="300" w:line="276" w:lineRule="auto"/>
        <w:rPr>
          <w:rFonts w:eastAsia="Times New Roman" w:cs="Helvetica"/>
          <w:color w:val="333333"/>
          <w:sz w:val="24"/>
          <w:szCs w:val="24"/>
          <w:lang w:eastAsia="en-GB"/>
        </w:rPr>
      </w:pPr>
      <w:r w:rsidRPr="009A38E0">
        <w:rPr>
          <w:rFonts w:eastAsia="Times New Roman" w:cs="Helvetica"/>
          <w:color w:val="333333"/>
          <w:sz w:val="24"/>
          <w:szCs w:val="24"/>
          <w:lang w:eastAsia="en-GB"/>
        </w:rPr>
        <w:t>The RNRB is transferable between married couples so if the allowance is not used on the first death (perhaps because the family home is left to the surviving spouse) the executors of the second spouse to die can claim a double allowance.</w:t>
      </w:r>
    </w:p>
    <w:p w:rsidR="009A38E0" w:rsidRPr="00A2538E" w:rsidRDefault="009A38E0" w:rsidP="006B7059">
      <w:pPr>
        <w:spacing w:before="100" w:beforeAutospacing="1" w:after="300" w:line="276" w:lineRule="auto"/>
        <w:rPr>
          <w:rFonts w:eastAsia="Times New Roman" w:cs="Helvetica"/>
          <w:color w:val="333333"/>
          <w:sz w:val="24"/>
          <w:szCs w:val="24"/>
          <w:lang w:eastAsia="en-GB"/>
        </w:rPr>
      </w:pPr>
      <w:r w:rsidRPr="009A38E0">
        <w:rPr>
          <w:rFonts w:eastAsia="Times New Roman" w:cs="Helvetica"/>
          <w:color w:val="333333"/>
          <w:sz w:val="24"/>
          <w:szCs w:val="24"/>
          <w:lang w:eastAsia="en-GB"/>
        </w:rPr>
        <w:t>The RNRB will increase by £25,000 a year until 2020/21 when it will be fully in force and will amount to £175,000 for an individual or £350,000 for a couple, saving inheritance tax of £70,000 and £140,000 respectively.</w:t>
      </w:r>
    </w:p>
    <w:p w:rsidR="003D0BB0" w:rsidRPr="00A2538E" w:rsidRDefault="003D0BB0" w:rsidP="006B7059">
      <w:pPr>
        <w:spacing w:line="276" w:lineRule="auto"/>
        <w:rPr>
          <w:sz w:val="24"/>
          <w:szCs w:val="24"/>
        </w:rPr>
      </w:pPr>
      <w:r w:rsidRPr="00A2538E">
        <w:rPr>
          <w:sz w:val="24"/>
          <w:szCs w:val="24"/>
        </w:rPr>
        <w:t xml:space="preserve">The combined nil rate bands could be worth as much as £1 million by 2021. </w:t>
      </w:r>
    </w:p>
    <w:tbl>
      <w:tblPr>
        <w:tblStyle w:val="TableGrid"/>
        <w:tblW w:w="0" w:type="auto"/>
        <w:tblLook w:val="04A0" w:firstRow="1" w:lastRow="0" w:firstColumn="1" w:lastColumn="0" w:noHBand="0" w:noVBand="1"/>
      </w:tblPr>
      <w:tblGrid>
        <w:gridCol w:w="2122"/>
        <w:gridCol w:w="2440"/>
        <w:gridCol w:w="2227"/>
        <w:gridCol w:w="2227"/>
      </w:tblGrid>
      <w:tr w:rsidR="003D0BB0" w:rsidTr="009F561E">
        <w:tc>
          <w:tcPr>
            <w:tcW w:w="2122" w:type="dxa"/>
          </w:tcPr>
          <w:p w:rsidR="003D0BB0" w:rsidRPr="001A7B3E" w:rsidRDefault="003D0BB0" w:rsidP="009F561E">
            <w:pPr>
              <w:rPr>
                <w:b/>
              </w:rPr>
            </w:pPr>
            <w:r w:rsidRPr="001A7B3E">
              <w:rPr>
                <w:b/>
              </w:rPr>
              <w:t xml:space="preserve">Tax year   </w:t>
            </w:r>
          </w:p>
        </w:tc>
        <w:tc>
          <w:tcPr>
            <w:tcW w:w="2440" w:type="dxa"/>
          </w:tcPr>
          <w:p w:rsidR="003D0BB0" w:rsidRPr="001A7B3E" w:rsidRDefault="003D0BB0" w:rsidP="009F561E">
            <w:pPr>
              <w:rPr>
                <w:b/>
              </w:rPr>
            </w:pPr>
            <w:r w:rsidRPr="001A7B3E">
              <w:rPr>
                <w:b/>
              </w:rPr>
              <w:t>RNRB</w:t>
            </w:r>
          </w:p>
        </w:tc>
        <w:tc>
          <w:tcPr>
            <w:tcW w:w="2227" w:type="dxa"/>
          </w:tcPr>
          <w:p w:rsidR="003D0BB0" w:rsidRPr="001A7B3E" w:rsidRDefault="003D0BB0" w:rsidP="009F561E">
            <w:pPr>
              <w:rPr>
                <w:b/>
              </w:rPr>
            </w:pPr>
            <w:r w:rsidRPr="001A7B3E">
              <w:rPr>
                <w:b/>
              </w:rPr>
              <w:t>Main nil rate band</w:t>
            </w:r>
          </w:p>
        </w:tc>
        <w:tc>
          <w:tcPr>
            <w:tcW w:w="2227" w:type="dxa"/>
          </w:tcPr>
          <w:p w:rsidR="003D0BB0" w:rsidRPr="001A7B3E" w:rsidRDefault="003D0BB0" w:rsidP="009F561E">
            <w:pPr>
              <w:rPr>
                <w:b/>
              </w:rPr>
            </w:pPr>
            <w:r w:rsidRPr="001A7B3E">
              <w:rPr>
                <w:b/>
              </w:rPr>
              <w:t>Combined nil rate bands for both spouses or civil partners</w:t>
            </w:r>
          </w:p>
        </w:tc>
      </w:tr>
      <w:tr w:rsidR="003D0BB0" w:rsidTr="009F561E">
        <w:tc>
          <w:tcPr>
            <w:tcW w:w="2122" w:type="dxa"/>
          </w:tcPr>
          <w:p w:rsidR="003D0BB0" w:rsidRDefault="003D0BB0" w:rsidP="009F561E">
            <w:r>
              <w:t>Before 2017-18</w:t>
            </w:r>
          </w:p>
        </w:tc>
        <w:tc>
          <w:tcPr>
            <w:tcW w:w="2440" w:type="dxa"/>
          </w:tcPr>
          <w:p w:rsidR="003D0BB0" w:rsidRDefault="003D0BB0" w:rsidP="009F561E">
            <w:r w:rsidRPr="00F73246">
              <w:t>£100,000 (can be carried forward for surviving</w:t>
            </w:r>
            <w:r>
              <w:t xml:space="preserve"> spouse or civil partner's use)</w:t>
            </w:r>
          </w:p>
        </w:tc>
        <w:tc>
          <w:tcPr>
            <w:tcW w:w="2227" w:type="dxa"/>
          </w:tcPr>
          <w:p w:rsidR="003D0BB0" w:rsidRPr="00F73246" w:rsidRDefault="003D0BB0" w:rsidP="009F561E">
            <w:r w:rsidRPr="00F73246">
              <w:t>£325,000</w:t>
            </w:r>
          </w:p>
          <w:p w:rsidR="003D0BB0" w:rsidRDefault="003D0BB0" w:rsidP="009F561E"/>
        </w:tc>
        <w:tc>
          <w:tcPr>
            <w:tcW w:w="2227" w:type="dxa"/>
          </w:tcPr>
          <w:p w:rsidR="003D0BB0" w:rsidRPr="00F73246" w:rsidRDefault="003D0BB0" w:rsidP="009F561E">
            <w:r w:rsidRPr="00F73246">
              <w:t>£850,000</w:t>
            </w:r>
          </w:p>
          <w:p w:rsidR="003D0BB0" w:rsidRDefault="003D0BB0" w:rsidP="009F561E"/>
        </w:tc>
      </w:tr>
      <w:tr w:rsidR="003D0BB0" w:rsidTr="009F561E">
        <w:tc>
          <w:tcPr>
            <w:tcW w:w="2122" w:type="dxa"/>
          </w:tcPr>
          <w:p w:rsidR="003D0BB0" w:rsidRPr="00F73246" w:rsidRDefault="003D0BB0" w:rsidP="009F561E">
            <w:r w:rsidRPr="00F73246">
              <w:t>2017-18</w:t>
            </w:r>
          </w:p>
          <w:p w:rsidR="003D0BB0" w:rsidRDefault="003D0BB0" w:rsidP="009F561E"/>
        </w:tc>
        <w:tc>
          <w:tcPr>
            <w:tcW w:w="2440" w:type="dxa"/>
          </w:tcPr>
          <w:p w:rsidR="003D0BB0" w:rsidRPr="00F73246" w:rsidRDefault="003D0BB0" w:rsidP="009F561E">
            <w:r w:rsidRPr="00F73246">
              <w:t>£100,000</w:t>
            </w:r>
          </w:p>
          <w:p w:rsidR="003D0BB0" w:rsidRDefault="003D0BB0" w:rsidP="009F561E"/>
        </w:tc>
        <w:tc>
          <w:tcPr>
            <w:tcW w:w="2227" w:type="dxa"/>
          </w:tcPr>
          <w:p w:rsidR="003D0BB0" w:rsidRPr="00F73246" w:rsidRDefault="003D0BB0" w:rsidP="009F561E">
            <w:r w:rsidRPr="00F73246">
              <w:t>£325,000</w:t>
            </w:r>
          </w:p>
          <w:p w:rsidR="003D0BB0" w:rsidRDefault="003D0BB0" w:rsidP="009F561E"/>
        </w:tc>
        <w:tc>
          <w:tcPr>
            <w:tcW w:w="2227" w:type="dxa"/>
          </w:tcPr>
          <w:p w:rsidR="003D0BB0" w:rsidRPr="00F73246" w:rsidRDefault="003D0BB0" w:rsidP="009F561E">
            <w:r w:rsidRPr="00F73246">
              <w:t>£850,000</w:t>
            </w:r>
          </w:p>
          <w:p w:rsidR="003D0BB0" w:rsidRDefault="003D0BB0" w:rsidP="009F561E"/>
        </w:tc>
      </w:tr>
      <w:tr w:rsidR="003D0BB0" w:rsidTr="009F561E">
        <w:tc>
          <w:tcPr>
            <w:tcW w:w="2122" w:type="dxa"/>
          </w:tcPr>
          <w:p w:rsidR="003D0BB0" w:rsidRPr="00F73246" w:rsidRDefault="003D0BB0" w:rsidP="009F561E">
            <w:r w:rsidRPr="00F73246">
              <w:t>2018-19</w:t>
            </w:r>
          </w:p>
          <w:p w:rsidR="003D0BB0" w:rsidRPr="00F73246" w:rsidRDefault="003D0BB0" w:rsidP="009F561E"/>
        </w:tc>
        <w:tc>
          <w:tcPr>
            <w:tcW w:w="2440" w:type="dxa"/>
          </w:tcPr>
          <w:p w:rsidR="003D0BB0" w:rsidRPr="00F73246" w:rsidRDefault="003D0BB0" w:rsidP="009F561E">
            <w:r w:rsidRPr="00F73246">
              <w:t>£125,000</w:t>
            </w:r>
          </w:p>
          <w:p w:rsidR="003D0BB0" w:rsidRPr="00F73246" w:rsidRDefault="003D0BB0" w:rsidP="009F561E"/>
        </w:tc>
        <w:tc>
          <w:tcPr>
            <w:tcW w:w="2227" w:type="dxa"/>
          </w:tcPr>
          <w:p w:rsidR="003D0BB0" w:rsidRPr="00F73246" w:rsidRDefault="003D0BB0" w:rsidP="009F561E">
            <w:r w:rsidRPr="00F73246">
              <w:t>£325,000</w:t>
            </w:r>
          </w:p>
          <w:p w:rsidR="003D0BB0" w:rsidRPr="00F73246" w:rsidRDefault="003D0BB0" w:rsidP="009F561E"/>
        </w:tc>
        <w:tc>
          <w:tcPr>
            <w:tcW w:w="2227" w:type="dxa"/>
          </w:tcPr>
          <w:p w:rsidR="003D0BB0" w:rsidRPr="00F73246" w:rsidRDefault="003D0BB0" w:rsidP="009F561E">
            <w:r w:rsidRPr="00F73246">
              <w:t>£900,000</w:t>
            </w:r>
          </w:p>
          <w:p w:rsidR="003D0BB0" w:rsidRPr="00F73246" w:rsidRDefault="003D0BB0" w:rsidP="009F561E"/>
        </w:tc>
      </w:tr>
      <w:tr w:rsidR="003D0BB0" w:rsidTr="009F561E">
        <w:tc>
          <w:tcPr>
            <w:tcW w:w="2122" w:type="dxa"/>
          </w:tcPr>
          <w:p w:rsidR="003D0BB0" w:rsidRPr="00F73246" w:rsidRDefault="003D0BB0" w:rsidP="009F561E">
            <w:r w:rsidRPr="00F73246">
              <w:t>2019-20</w:t>
            </w:r>
          </w:p>
          <w:p w:rsidR="003D0BB0" w:rsidRPr="00F73246" w:rsidRDefault="003D0BB0" w:rsidP="009F561E"/>
        </w:tc>
        <w:tc>
          <w:tcPr>
            <w:tcW w:w="2440" w:type="dxa"/>
          </w:tcPr>
          <w:p w:rsidR="003D0BB0" w:rsidRPr="00F73246" w:rsidRDefault="003D0BB0" w:rsidP="009F561E">
            <w:r w:rsidRPr="00F73246">
              <w:t>£150,000</w:t>
            </w:r>
          </w:p>
          <w:p w:rsidR="003D0BB0" w:rsidRPr="00F73246" w:rsidRDefault="003D0BB0" w:rsidP="009F561E"/>
        </w:tc>
        <w:tc>
          <w:tcPr>
            <w:tcW w:w="2227" w:type="dxa"/>
          </w:tcPr>
          <w:p w:rsidR="003D0BB0" w:rsidRPr="00F73246" w:rsidRDefault="003D0BB0" w:rsidP="009F561E">
            <w:r w:rsidRPr="00F73246">
              <w:t>£325,000</w:t>
            </w:r>
          </w:p>
          <w:p w:rsidR="003D0BB0" w:rsidRPr="00F73246" w:rsidRDefault="003D0BB0" w:rsidP="009F561E"/>
        </w:tc>
        <w:tc>
          <w:tcPr>
            <w:tcW w:w="2227" w:type="dxa"/>
          </w:tcPr>
          <w:p w:rsidR="003D0BB0" w:rsidRPr="00F73246" w:rsidRDefault="003D0BB0" w:rsidP="009F561E">
            <w:r w:rsidRPr="00F73246">
              <w:t>£950,000</w:t>
            </w:r>
          </w:p>
          <w:p w:rsidR="003D0BB0" w:rsidRPr="00F73246" w:rsidRDefault="003D0BB0" w:rsidP="009F561E"/>
        </w:tc>
      </w:tr>
      <w:tr w:rsidR="003D0BB0" w:rsidTr="009F561E">
        <w:tc>
          <w:tcPr>
            <w:tcW w:w="2122" w:type="dxa"/>
          </w:tcPr>
          <w:p w:rsidR="003D0BB0" w:rsidRPr="00F73246" w:rsidRDefault="003D0BB0" w:rsidP="009F561E">
            <w:r w:rsidRPr="00F73246">
              <w:t>2020-21</w:t>
            </w:r>
          </w:p>
          <w:p w:rsidR="003D0BB0" w:rsidRPr="00F73246" w:rsidRDefault="003D0BB0" w:rsidP="009F561E"/>
        </w:tc>
        <w:tc>
          <w:tcPr>
            <w:tcW w:w="2440" w:type="dxa"/>
          </w:tcPr>
          <w:p w:rsidR="003D0BB0" w:rsidRPr="00F73246" w:rsidRDefault="003D0BB0" w:rsidP="009F561E">
            <w:r w:rsidRPr="00F73246">
              <w:t>£175,000</w:t>
            </w:r>
          </w:p>
          <w:p w:rsidR="003D0BB0" w:rsidRPr="00F73246" w:rsidRDefault="003D0BB0" w:rsidP="009F561E"/>
        </w:tc>
        <w:tc>
          <w:tcPr>
            <w:tcW w:w="2227" w:type="dxa"/>
          </w:tcPr>
          <w:p w:rsidR="003D0BB0" w:rsidRPr="001A7B3E" w:rsidRDefault="003D0BB0" w:rsidP="009F561E">
            <w:r w:rsidRPr="001A7B3E">
              <w:t>£325,000</w:t>
            </w:r>
          </w:p>
          <w:p w:rsidR="003D0BB0" w:rsidRPr="00F73246" w:rsidRDefault="003D0BB0" w:rsidP="009F561E"/>
        </w:tc>
        <w:tc>
          <w:tcPr>
            <w:tcW w:w="2227" w:type="dxa"/>
          </w:tcPr>
          <w:p w:rsidR="003D0BB0" w:rsidRPr="001A7B3E" w:rsidRDefault="003D0BB0" w:rsidP="009F561E">
            <w:r w:rsidRPr="001A7B3E">
              <w:t>£1,000,000</w:t>
            </w:r>
          </w:p>
          <w:p w:rsidR="003D0BB0" w:rsidRPr="00F73246" w:rsidRDefault="003D0BB0" w:rsidP="009F561E"/>
        </w:tc>
      </w:tr>
    </w:tbl>
    <w:p w:rsidR="003D0BB0" w:rsidRPr="009A38E0" w:rsidRDefault="003D0BB0" w:rsidP="009A38E0">
      <w:pPr>
        <w:spacing w:before="100" w:beforeAutospacing="1" w:after="300" w:line="300" w:lineRule="atLeast"/>
        <w:rPr>
          <w:rFonts w:eastAsia="Times New Roman" w:cs="Helvetica"/>
          <w:color w:val="333333"/>
          <w:lang w:eastAsia="en-GB"/>
        </w:rPr>
      </w:pPr>
    </w:p>
    <w:p w:rsidR="003D0BB0" w:rsidRPr="005229C4" w:rsidRDefault="003D0BB0" w:rsidP="003D0BB0">
      <w:pPr>
        <w:rPr>
          <w:b/>
          <w:color w:val="1F4E79" w:themeColor="accent1" w:themeShade="80"/>
          <w:sz w:val="27"/>
          <w:szCs w:val="27"/>
        </w:rPr>
      </w:pPr>
      <w:r w:rsidRPr="005229C4">
        <w:rPr>
          <w:b/>
          <w:color w:val="1F4E79" w:themeColor="accent1" w:themeShade="80"/>
          <w:sz w:val="27"/>
          <w:szCs w:val="27"/>
        </w:rPr>
        <w:t>What if I sell my home?</w:t>
      </w:r>
    </w:p>
    <w:p w:rsidR="003D0BB0" w:rsidRPr="00A2538E" w:rsidRDefault="003D0BB0" w:rsidP="006B7059">
      <w:pPr>
        <w:spacing w:line="276" w:lineRule="auto"/>
        <w:rPr>
          <w:sz w:val="24"/>
          <w:szCs w:val="24"/>
        </w:rPr>
      </w:pPr>
      <w:r w:rsidRPr="00A2538E">
        <w:rPr>
          <w:sz w:val="24"/>
          <w:szCs w:val="24"/>
        </w:rPr>
        <w:t>Under government proposals the RNRB will still be available where you have sold your home and downsized to a less valuable property, or even if you no longer own a property, provided that you sold your home on or after 8 July 2015 and at least part of your estate is inherited by a qualifying beneficiary.</w:t>
      </w:r>
    </w:p>
    <w:p w:rsidR="003D0BB0" w:rsidRPr="005229C4" w:rsidRDefault="003D0BB0" w:rsidP="003D0BB0">
      <w:pPr>
        <w:rPr>
          <w:b/>
          <w:color w:val="1F4E79" w:themeColor="accent1" w:themeShade="80"/>
          <w:sz w:val="27"/>
          <w:szCs w:val="27"/>
        </w:rPr>
      </w:pPr>
      <w:r w:rsidRPr="005229C4">
        <w:rPr>
          <w:b/>
          <w:color w:val="1F4E79" w:themeColor="accent1" w:themeShade="80"/>
          <w:sz w:val="27"/>
          <w:szCs w:val="27"/>
        </w:rPr>
        <w:t>What if I move out of my home?</w:t>
      </w:r>
    </w:p>
    <w:p w:rsidR="003D0BB0" w:rsidRPr="00A2538E" w:rsidRDefault="003D0BB0" w:rsidP="006B7059">
      <w:pPr>
        <w:spacing w:line="276" w:lineRule="auto"/>
        <w:rPr>
          <w:sz w:val="24"/>
          <w:szCs w:val="24"/>
        </w:rPr>
      </w:pPr>
      <w:r w:rsidRPr="00A2538E">
        <w:rPr>
          <w:sz w:val="24"/>
          <w:szCs w:val="24"/>
        </w:rPr>
        <w:t>The RNRB will apply if you own a property that is no longer your residence when you die (for example, because you have moved into a care home), provided that it was your residence at some time during your period of ownership.</w:t>
      </w:r>
    </w:p>
    <w:p w:rsidR="006B7059" w:rsidRPr="006B7059" w:rsidRDefault="006B7059" w:rsidP="006B7059">
      <w:pPr>
        <w:spacing w:line="276" w:lineRule="auto"/>
        <w:rPr>
          <w:b/>
          <w:color w:val="1F4E79" w:themeColor="accent1" w:themeShade="80"/>
          <w:sz w:val="27"/>
          <w:szCs w:val="27"/>
        </w:rPr>
      </w:pPr>
      <w:r w:rsidRPr="006B7059">
        <w:rPr>
          <w:b/>
          <w:color w:val="1F4E79" w:themeColor="accent1" w:themeShade="80"/>
          <w:sz w:val="27"/>
          <w:szCs w:val="27"/>
        </w:rPr>
        <w:t>Downsizing</w:t>
      </w:r>
    </w:p>
    <w:p w:rsidR="006B7059" w:rsidRPr="00A2538E" w:rsidRDefault="006B7059" w:rsidP="006B7059">
      <w:pPr>
        <w:spacing w:line="276" w:lineRule="auto"/>
        <w:rPr>
          <w:sz w:val="24"/>
          <w:szCs w:val="24"/>
        </w:rPr>
      </w:pPr>
      <w:r w:rsidRPr="00A2538E">
        <w:rPr>
          <w:sz w:val="24"/>
          <w:szCs w:val="24"/>
        </w:rPr>
        <w:t>In most cases the</w:t>
      </w:r>
      <w:r w:rsidRPr="00A2538E">
        <w:rPr>
          <w:sz w:val="24"/>
          <w:szCs w:val="24"/>
        </w:rPr>
        <w:t xml:space="preserve"> RNRB will still be available where a sale or downsizing means that equity unlocked in a property might otherwise be ‘lost’ from the allowance. Providing certain conditions are met the estate will still benefit from the maximum RNRB as if the individual had died while owning the original property.</w:t>
      </w:r>
      <w:r w:rsidRPr="00A2538E">
        <w:rPr>
          <w:sz w:val="24"/>
          <w:szCs w:val="24"/>
        </w:rPr>
        <w:t xml:space="preserve"> The</w:t>
      </w:r>
      <w:r w:rsidRPr="00A2538E">
        <w:rPr>
          <w:sz w:val="24"/>
          <w:szCs w:val="24"/>
        </w:rPr>
        <w:t xml:space="preserve"> downsizing addition is calculated in percentage terms with the percentage of RNRB lost owing to the sale of the property then added to the person’s residential </w:t>
      </w:r>
      <w:r w:rsidRPr="00A2538E">
        <w:rPr>
          <w:sz w:val="24"/>
          <w:szCs w:val="24"/>
        </w:rPr>
        <w:t xml:space="preserve">nil rate band </w:t>
      </w:r>
      <w:r w:rsidRPr="00A2538E">
        <w:rPr>
          <w:sz w:val="24"/>
          <w:szCs w:val="24"/>
        </w:rPr>
        <w:t>and any unused allowance from a deceased spouse or civil partner brought forward.</w:t>
      </w:r>
    </w:p>
    <w:p w:rsidR="003D0BB0" w:rsidRPr="005229C4" w:rsidRDefault="003D0BB0" w:rsidP="003D0BB0">
      <w:pPr>
        <w:rPr>
          <w:b/>
          <w:color w:val="1F4E79" w:themeColor="accent1" w:themeShade="80"/>
          <w:sz w:val="27"/>
          <w:szCs w:val="27"/>
        </w:rPr>
      </w:pPr>
      <w:r w:rsidRPr="005229C4">
        <w:rPr>
          <w:b/>
          <w:color w:val="1F4E79" w:themeColor="accent1" w:themeShade="80"/>
          <w:sz w:val="27"/>
          <w:szCs w:val="27"/>
        </w:rPr>
        <w:t>What if I have given my home to my children already?</w:t>
      </w:r>
    </w:p>
    <w:p w:rsidR="003D0BB0" w:rsidRPr="00A2538E" w:rsidRDefault="003D0BB0" w:rsidP="006B7059">
      <w:pPr>
        <w:spacing w:line="276" w:lineRule="auto"/>
        <w:rPr>
          <w:sz w:val="24"/>
          <w:szCs w:val="24"/>
        </w:rPr>
      </w:pPr>
      <w:r w:rsidRPr="00A2538E">
        <w:rPr>
          <w:sz w:val="24"/>
          <w:szCs w:val="24"/>
        </w:rPr>
        <w:t xml:space="preserve">Even if you have already given away your home to your children, if you still benefit from the property in some way without paying for it, for example, you continue to occupy it even though it has been given away or if you are co-occupying with your children after having transferred it to them, it may still be possible to claim the RNRB on your death. </w:t>
      </w:r>
    </w:p>
    <w:p w:rsidR="003D0BB0" w:rsidRPr="005229C4" w:rsidRDefault="003D0BB0" w:rsidP="003D0BB0">
      <w:pPr>
        <w:rPr>
          <w:b/>
          <w:color w:val="1F4E79" w:themeColor="accent1" w:themeShade="80"/>
          <w:sz w:val="27"/>
          <w:szCs w:val="27"/>
        </w:rPr>
      </w:pPr>
      <w:r w:rsidRPr="005229C4">
        <w:rPr>
          <w:b/>
          <w:color w:val="1F4E79" w:themeColor="accent1" w:themeShade="80"/>
          <w:sz w:val="27"/>
          <w:szCs w:val="27"/>
        </w:rPr>
        <w:t>What if my children do not want my home after I die?</w:t>
      </w:r>
    </w:p>
    <w:p w:rsidR="003D0BB0" w:rsidRPr="00A2538E" w:rsidRDefault="003D0BB0" w:rsidP="006B7059">
      <w:pPr>
        <w:spacing w:line="276" w:lineRule="auto"/>
        <w:rPr>
          <w:sz w:val="24"/>
          <w:szCs w:val="24"/>
        </w:rPr>
      </w:pPr>
      <w:r w:rsidRPr="00A2538E">
        <w:rPr>
          <w:sz w:val="24"/>
          <w:szCs w:val="24"/>
        </w:rPr>
        <w:t>It does not matter whether the qualifying beneficiaries who inherit your home want to keep it. The RNRB will still be available even if they sell your home immediately after your death.</w:t>
      </w:r>
    </w:p>
    <w:p w:rsidR="003D0BB0" w:rsidRPr="005229C4" w:rsidRDefault="003D0BB0" w:rsidP="003D0BB0">
      <w:pPr>
        <w:rPr>
          <w:b/>
          <w:color w:val="1F4E79" w:themeColor="accent1" w:themeShade="80"/>
          <w:sz w:val="27"/>
          <w:szCs w:val="27"/>
        </w:rPr>
      </w:pPr>
      <w:r w:rsidRPr="005229C4">
        <w:rPr>
          <w:b/>
          <w:color w:val="1F4E79" w:themeColor="accent1" w:themeShade="80"/>
          <w:sz w:val="27"/>
          <w:szCs w:val="27"/>
        </w:rPr>
        <w:t>What if I have more than one home?</w:t>
      </w:r>
    </w:p>
    <w:p w:rsidR="003D0BB0" w:rsidRPr="00A2538E" w:rsidRDefault="003D0BB0" w:rsidP="006B7059">
      <w:pPr>
        <w:spacing w:line="276" w:lineRule="auto"/>
        <w:rPr>
          <w:sz w:val="24"/>
          <w:szCs w:val="24"/>
        </w:rPr>
      </w:pPr>
      <w:r w:rsidRPr="00A2538E">
        <w:rPr>
          <w:sz w:val="24"/>
          <w:szCs w:val="24"/>
        </w:rPr>
        <w:t>If you own more than one property that is (or has previously been) your residence when you die, your executors must choose which one will benefit from the RNRB.</w:t>
      </w:r>
    </w:p>
    <w:p w:rsidR="009A38E0" w:rsidRPr="009A38E0" w:rsidRDefault="00E218C1" w:rsidP="009A38E0">
      <w:pPr>
        <w:spacing w:before="100" w:beforeAutospacing="1" w:after="300" w:line="375" w:lineRule="atLeast"/>
        <w:outlineLvl w:val="2"/>
        <w:rPr>
          <w:rFonts w:eastAsia="Times New Roman" w:cs="Helvetica"/>
          <w:b/>
          <w:bCs/>
          <w:color w:val="1F4E79" w:themeColor="accent1" w:themeShade="80"/>
          <w:sz w:val="27"/>
          <w:szCs w:val="27"/>
          <w:lang w:eastAsia="en-GB"/>
        </w:rPr>
      </w:pPr>
      <w:r w:rsidRPr="005229C4">
        <w:rPr>
          <w:rFonts w:eastAsia="Times New Roman" w:cs="Helvetica"/>
          <w:b/>
          <w:bCs/>
          <w:color w:val="1F4E79" w:themeColor="accent1" w:themeShade="80"/>
          <w:sz w:val="27"/>
          <w:szCs w:val="27"/>
          <w:lang w:eastAsia="en-GB"/>
        </w:rPr>
        <w:t>Reduction of RNRB</w:t>
      </w:r>
      <w:r w:rsidR="009A38E0" w:rsidRPr="009A38E0">
        <w:rPr>
          <w:rFonts w:eastAsia="Times New Roman" w:cs="Helvetica"/>
          <w:b/>
          <w:bCs/>
          <w:color w:val="1F4E79" w:themeColor="accent1" w:themeShade="80"/>
          <w:sz w:val="27"/>
          <w:szCs w:val="27"/>
          <w:lang w:eastAsia="en-GB"/>
        </w:rPr>
        <w:t xml:space="preserve"> for larger estates</w:t>
      </w:r>
    </w:p>
    <w:p w:rsidR="00100B15" w:rsidRPr="00A2538E" w:rsidRDefault="009A38E0" w:rsidP="006B7059">
      <w:pPr>
        <w:pStyle w:val="NormalWeb"/>
        <w:spacing w:line="276" w:lineRule="auto"/>
        <w:rPr>
          <w:rFonts w:asciiTheme="minorHAnsi" w:hAnsiTheme="minorHAnsi" w:cs="Helvetica"/>
          <w:color w:val="333333"/>
          <w:sz w:val="24"/>
          <w:szCs w:val="24"/>
        </w:rPr>
      </w:pPr>
      <w:r w:rsidRPr="009A38E0">
        <w:rPr>
          <w:rFonts w:asciiTheme="minorHAnsi" w:hAnsiTheme="minorHAnsi" w:cs="Helvetica"/>
          <w:color w:val="333333"/>
          <w:sz w:val="24"/>
          <w:szCs w:val="24"/>
        </w:rPr>
        <w:t xml:space="preserve">If your estate is above £2 million then the allowance will taper away by £1 for every £2 in excess of £2 million. </w:t>
      </w:r>
      <w:r w:rsidR="00100B15" w:rsidRPr="00A2538E">
        <w:rPr>
          <w:rFonts w:asciiTheme="minorHAnsi" w:hAnsiTheme="minorHAnsi" w:cs="Helvetica"/>
          <w:color w:val="333333"/>
          <w:sz w:val="24"/>
          <w:szCs w:val="24"/>
        </w:rPr>
        <w:t xml:space="preserve">Therefore the RNRB will become </w:t>
      </w:r>
      <w:r w:rsidR="00100B15" w:rsidRPr="00A2538E">
        <w:rPr>
          <w:rFonts w:asciiTheme="minorHAnsi" w:hAnsiTheme="minorHAnsi" w:cs="Helvetica"/>
          <w:color w:val="333333"/>
          <w:sz w:val="24"/>
          <w:szCs w:val="24"/>
        </w:rPr>
        <w:t>worthless once an estate exceeds £2.35 million when the allowance is fully in force (assuming the deceased cannot carry forward any allowance from a previously deceased spouse or civil partner).</w:t>
      </w:r>
    </w:p>
    <w:p w:rsidR="009A38E0" w:rsidRPr="00A2538E" w:rsidRDefault="005229C4" w:rsidP="006B7059">
      <w:pPr>
        <w:spacing w:before="100" w:beforeAutospacing="1" w:after="300" w:line="276" w:lineRule="auto"/>
        <w:rPr>
          <w:rFonts w:eastAsia="Times New Roman" w:cs="Helvetica"/>
          <w:color w:val="333333"/>
          <w:sz w:val="24"/>
          <w:szCs w:val="24"/>
          <w:lang w:eastAsia="en-GB"/>
        </w:rPr>
      </w:pPr>
      <w:r w:rsidRPr="00A2538E">
        <w:rPr>
          <w:rFonts w:eastAsia="Times New Roman" w:cs="Helvetica"/>
          <w:color w:val="333333"/>
          <w:sz w:val="24"/>
          <w:szCs w:val="24"/>
          <w:lang w:eastAsia="en-GB"/>
        </w:rPr>
        <w:t>It is</w:t>
      </w:r>
      <w:r w:rsidR="009A38E0" w:rsidRPr="009A38E0">
        <w:rPr>
          <w:rFonts w:eastAsia="Times New Roman" w:cs="Helvetica"/>
          <w:color w:val="333333"/>
          <w:sz w:val="24"/>
          <w:szCs w:val="24"/>
          <w:lang w:eastAsia="en-GB"/>
        </w:rPr>
        <w:t xml:space="preserve"> important to note that the £2 million threshold is calculated taking into account all the assets in your estate not just those liable to inheritance tax. Individuals who own valuable business or agricultural property could find in many cases that they cannot claim the allowance. In those circumstances, a we</w:t>
      </w:r>
      <w:r w:rsidR="009A38E0" w:rsidRPr="00A2538E">
        <w:rPr>
          <w:rFonts w:eastAsia="Times New Roman" w:cs="Helvetica"/>
          <w:color w:val="333333"/>
          <w:sz w:val="24"/>
          <w:szCs w:val="24"/>
          <w:lang w:eastAsia="en-GB"/>
        </w:rPr>
        <w:t>ll drafted Will and appropriate</w:t>
      </w:r>
      <w:r w:rsidR="009A38E0" w:rsidRPr="009A38E0">
        <w:rPr>
          <w:rFonts w:eastAsia="Times New Roman" w:cs="Helvetica"/>
          <w:color w:val="333333"/>
          <w:sz w:val="24"/>
          <w:szCs w:val="24"/>
          <w:lang w:eastAsia="en-GB"/>
        </w:rPr>
        <w:t xml:space="preserve"> </w:t>
      </w:r>
      <w:r w:rsidR="009A38E0" w:rsidRPr="00A2538E">
        <w:rPr>
          <w:rFonts w:eastAsia="Times New Roman" w:cs="Helvetica"/>
          <w:color w:val="333333"/>
          <w:sz w:val="24"/>
          <w:szCs w:val="24"/>
          <w:lang w:eastAsia="en-GB"/>
        </w:rPr>
        <w:t xml:space="preserve">estate planning </w:t>
      </w:r>
      <w:r w:rsidR="009A38E0" w:rsidRPr="009A38E0">
        <w:rPr>
          <w:rFonts w:eastAsia="Times New Roman" w:cs="Helvetica"/>
          <w:color w:val="333333"/>
          <w:sz w:val="24"/>
          <w:szCs w:val="24"/>
          <w:lang w:eastAsia="en-GB"/>
        </w:rPr>
        <w:t>can help to maximise the amount to which you would be entitled.</w:t>
      </w:r>
    </w:p>
    <w:p w:rsidR="009A38E0" w:rsidRPr="009A38E0" w:rsidRDefault="009A38E0" w:rsidP="009A38E0">
      <w:pPr>
        <w:spacing w:before="100" w:beforeAutospacing="1" w:after="300" w:line="375" w:lineRule="atLeast"/>
        <w:outlineLvl w:val="2"/>
        <w:rPr>
          <w:rFonts w:eastAsia="Times New Roman" w:cs="Helvetica"/>
          <w:b/>
          <w:bCs/>
          <w:color w:val="1F4E79" w:themeColor="accent1" w:themeShade="80"/>
          <w:sz w:val="27"/>
          <w:szCs w:val="27"/>
          <w:lang w:eastAsia="en-GB"/>
        </w:rPr>
      </w:pPr>
      <w:r w:rsidRPr="009A38E0">
        <w:rPr>
          <w:rFonts w:eastAsia="Times New Roman" w:cs="Helvetica"/>
          <w:b/>
          <w:bCs/>
          <w:color w:val="1F4E79" w:themeColor="accent1" w:themeShade="80"/>
          <w:sz w:val="27"/>
          <w:szCs w:val="27"/>
          <w:lang w:eastAsia="en-GB"/>
        </w:rPr>
        <w:t>Unmarried couples</w:t>
      </w:r>
    </w:p>
    <w:p w:rsidR="009A38E0" w:rsidRPr="00A2538E" w:rsidRDefault="009A38E0" w:rsidP="006B7059">
      <w:pPr>
        <w:spacing w:before="100" w:beforeAutospacing="1" w:after="300" w:line="276" w:lineRule="auto"/>
        <w:rPr>
          <w:rFonts w:eastAsia="Times New Roman" w:cs="Helvetica"/>
          <w:color w:val="333333"/>
          <w:sz w:val="24"/>
          <w:szCs w:val="24"/>
          <w:lang w:eastAsia="en-GB"/>
        </w:rPr>
      </w:pPr>
      <w:r w:rsidRPr="009A38E0">
        <w:rPr>
          <w:rFonts w:eastAsia="Times New Roman" w:cs="Helvetica"/>
          <w:color w:val="333333"/>
          <w:sz w:val="24"/>
          <w:szCs w:val="24"/>
          <w:lang w:eastAsia="en-GB"/>
        </w:rPr>
        <w:t>The RNRB can be claimed by each person in an unmarried couple. However, if the family home is left to the survivor of the couple it cannot be claimed on the first death and the unused allowance cannot be transferred to the surviving partner. This means that in those circumstances unmarried couples can claim only one allowance achieving a tax saving of half that of married couples. This can be overcome by making a Will leaving a sufficient share of the family home to trusts for the children on the first death so ensuring that an allowance can be claimed on each death.</w:t>
      </w:r>
    </w:p>
    <w:p w:rsidR="009A38E0" w:rsidRPr="005229C4" w:rsidRDefault="00100B15" w:rsidP="009A38E0">
      <w:pPr>
        <w:spacing w:before="100" w:beforeAutospacing="1" w:after="300" w:line="300" w:lineRule="atLeast"/>
        <w:rPr>
          <w:rFonts w:eastAsia="Times New Roman" w:cs="Helvetica"/>
          <w:b/>
          <w:color w:val="1F4E79" w:themeColor="accent1" w:themeShade="80"/>
          <w:sz w:val="27"/>
          <w:szCs w:val="27"/>
          <w:lang w:eastAsia="en-GB"/>
        </w:rPr>
      </w:pPr>
      <w:r w:rsidRPr="005229C4">
        <w:rPr>
          <w:rFonts w:eastAsia="Times New Roman" w:cs="Helvetica"/>
          <w:b/>
          <w:color w:val="1F4E79" w:themeColor="accent1" w:themeShade="80"/>
          <w:sz w:val="27"/>
          <w:szCs w:val="27"/>
          <w:lang w:eastAsia="en-GB"/>
        </w:rPr>
        <w:t>Trusts in Wills</w:t>
      </w:r>
    </w:p>
    <w:p w:rsidR="009A38E0" w:rsidRPr="00A2538E" w:rsidRDefault="00100B15" w:rsidP="006B7059">
      <w:pPr>
        <w:pStyle w:val="NormalWeb"/>
        <w:spacing w:line="276" w:lineRule="auto"/>
        <w:rPr>
          <w:rFonts w:asciiTheme="minorHAnsi" w:hAnsiTheme="minorHAnsi" w:cs="Helvetica"/>
          <w:color w:val="333333"/>
          <w:sz w:val="24"/>
          <w:szCs w:val="24"/>
        </w:rPr>
      </w:pPr>
      <w:r w:rsidRPr="00A2538E">
        <w:rPr>
          <w:rFonts w:asciiTheme="minorHAnsi" w:hAnsiTheme="minorHAnsi" w:cs="Helvetica"/>
          <w:color w:val="333333"/>
          <w:sz w:val="24"/>
          <w:szCs w:val="24"/>
        </w:rPr>
        <w:t>If</w:t>
      </w:r>
      <w:r w:rsidR="009A38E0" w:rsidRPr="00A2538E">
        <w:rPr>
          <w:rFonts w:asciiTheme="minorHAnsi" w:hAnsiTheme="minorHAnsi" w:cs="Helvetica"/>
          <w:color w:val="333333"/>
          <w:sz w:val="24"/>
          <w:szCs w:val="24"/>
        </w:rPr>
        <w:t xml:space="preserve"> the qualifying residential interest is left to a disabled person’s</w:t>
      </w:r>
      <w:r w:rsidR="009A38E0" w:rsidRPr="00A2538E">
        <w:rPr>
          <w:rFonts w:asciiTheme="minorHAnsi" w:hAnsiTheme="minorHAnsi" w:cs="Helvetica"/>
          <w:color w:val="333333"/>
          <w:sz w:val="24"/>
          <w:szCs w:val="24"/>
        </w:rPr>
        <w:t xml:space="preserve"> trust for a lineal descendant, </w:t>
      </w:r>
      <w:r w:rsidR="009A38E0" w:rsidRPr="00A2538E">
        <w:rPr>
          <w:rFonts w:asciiTheme="minorHAnsi" w:hAnsiTheme="minorHAnsi" w:cs="Helvetica"/>
          <w:color w:val="333333"/>
          <w:sz w:val="24"/>
          <w:szCs w:val="24"/>
        </w:rPr>
        <w:t>th</w:t>
      </w:r>
      <w:r w:rsidR="009A38E0" w:rsidRPr="00A2538E">
        <w:rPr>
          <w:rFonts w:asciiTheme="minorHAnsi" w:hAnsiTheme="minorHAnsi" w:cs="Helvetica"/>
          <w:color w:val="333333"/>
          <w:sz w:val="24"/>
          <w:szCs w:val="24"/>
        </w:rPr>
        <w:t>e</w:t>
      </w:r>
      <w:r w:rsidR="009A38E0" w:rsidRPr="00A2538E">
        <w:rPr>
          <w:rFonts w:asciiTheme="minorHAnsi" w:hAnsiTheme="minorHAnsi" w:cs="Helvetica"/>
          <w:color w:val="333333"/>
          <w:sz w:val="24"/>
          <w:szCs w:val="24"/>
        </w:rPr>
        <w:t xml:space="preserve"> RNRB can be claimed whatever the type of the disabled person’s trust. </w:t>
      </w:r>
      <w:r w:rsidRPr="00A2538E">
        <w:rPr>
          <w:rFonts w:asciiTheme="minorHAnsi" w:hAnsiTheme="minorHAnsi" w:cs="Helvetica"/>
          <w:color w:val="333333"/>
          <w:sz w:val="24"/>
          <w:szCs w:val="24"/>
        </w:rPr>
        <w:t>L</w:t>
      </w:r>
      <w:r w:rsidR="009A38E0" w:rsidRPr="00A2538E">
        <w:rPr>
          <w:rFonts w:asciiTheme="minorHAnsi" w:hAnsiTheme="minorHAnsi" w:cs="Helvetica"/>
          <w:color w:val="333333"/>
          <w:sz w:val="24"/>
          <w:szCs w:val="24"/>
        </w:rPr>
        <w:t>egacies of qualifying residential interests to discretionary trusts are not closely inherited within the terms of the legislation, even if all the potential beneficiaries of the trust are lineal descendants.</w:t>
      </w:r>
      <w:r w:rsidRPr="00A2538E">
        <w:rPr>
          <w:rFonts w:asciiTheme="minorHAnsi" w:hAnsiTheme="minorHAnsi" w:cs="Helvetica"/>
          <w:color w:val="333333"/>
          <w:sz w:val="24"/>
          <w:szCs w:val="24"/>
        </w:rPr>
        <w:t xml:space="preserve"> </w:t>
      </w:r>
    </w:p>
    <w:p w:rsidR="009A38E0" w:rsidRPr="00A2538E" w:rsidRDefault="00100B15" w:rsidP="006B7059">
      <w:pPr>
        <w:pStyle w:val="NormalWeb"/>
        <w:spacing w:line="276" w:lineRule="auto"/>
        <w:rPr>
          <w:rFonts w:asciiTheme="minorHAnsi" w:hAnsiTheme="minorHAnsi" w:cs="Helvetica"/>
          <w:color w:val="333333"/>
          <w:sz w:val="24"/>
          <w:szCs w:val="24"/>
        </w:rPr>
      </w:pPr>
      <w:r w:rsidRPr="00A2538E">
        <w:rPr>
          <w:rFonts w:asciiTheme="minorHAnsi" w:hAnsiTheme="minorHAnsi" w:cs="Helvetica"/>
          <w:color w:val="333333"/>
          <w:sz w:val="24"/>
          <w:szCs w:val="24"/>
        </w:rPr>
        <w:t>However,</w:t>
      </w:r>
      <w:r w:rsidR="009A38E0" w:rsidRPr="00A2538E">
        <w:rPr>
          <w:rFonts w:asciiTheme="minorHAnsi" w:hAnsiTheme="minorHAnsi" w:cs="Helvetica"/>
          <w:color w:val="333333"/>
          <w:sz w:val="24"/>
          <w:szCs w:val="24"/>
        </w:rPr>
        <w:t xml:space="preserve"> if an appointment out of a discretionary trust is made within two years of the deceased’s death, this is read back to the date of death for IHT purposes</w:t>
      </w:r>
      <w:r w:rsidRPr="00A2538E">
        <w:rPr>
          <w:rFonts w:asciiTheme="minorHAnsi" w:hAnsiTheme="minorHAnsi" w:cs="Helvetica"/>
          <w:color w:val="333333"/>
          <w:sz w:val="24"/>
          <w:szCs w:val="24"/>
        </w:rPr>
        <w:t xml:space="preserve"> (s.144 IHTA 1984)</w:t>
      </w:r>
      <w:r w:rsidR="009A38E0" w:rsidRPr="00A2538E">
        <w:rPr>
          <w:rFonts w:asciiTheme="minorHAnsi" w:hAnsiTheme="minorHAnsi" w:cs="Helvetica"/>
          <w:color w:val="333333"/>
          <w:sz w:val="24"/>
          <w:szCs w:val="24"/>
        </w:rPr>
        <w:t>. This means that, under the current law, if your Will incorporates a discretionary trust of residue on the second death</w:t>
      </w:r>
      <w:r w:rsidRPr="00A2538E">
        <w:rPr>
          <w:rFonts w:asciiTheme="minorHAnsi" w:hAnsiTheme="minorHAnsi" w:cs="Helvetica"/>
          <w:color w:val="333333"/>
          <w:sz w:val="24"/>
          <w:szCs w:val="24"/>
        </w:rPr>
        <w:t xml:space="preserve"> (or on your death if you are single)</w:t>
      </w:r>
      <w:r w:rsidR="009A38E0" w:rsidRPr="00A2538E">
        <w:rPr>
          <w:rFonts w:asciiTheme="minorHAnsi" w:hAnsiTheme="minorHAnsi" w:cs="Helvetica"/>
          <w:color w:val="333333"/>
          <w:sz w:val="24"/>
          <w:szCs w:val="24"/>
        </w:rPr>
        <w:t>, an appointment out of part or all of the qualifying residential interest to a lineal descendant (or a life interest trust for their benefit) within two years of death should enable the RNRB to be claimed retrospectively. The rest of your estate would then continue to benefit from the flexibility of the discretionary trust and the fact that it can be used as a tax planning vehicle for future generations.</w:t>
      </w:r>
    </w:p>
    <w:p w:rsidR="00540D1F" w:rsidRPr="00A2538E" w:rsidRDefault="00540D1F" w:rsidP="00540D1F">
      <w:pPr>
        <w:shd w:val="clear" w:color="auto" w:fill="FFFFFF"/>
        <w:spacing w:after="0" w:line="360" w:lineRule="auto"/>
        <w:jc w:val="both"/>
        <w:rPr>
          <w:rFonts w:eastAsia="Times New Roman" w:cs="Helvetica"/>
          <w:color w:val="000000"/>
          <w:sz w:val="24"/>
          <w:szCs w:val="24"/>
          <w:lang w:val="en" w:eastAsia="en-GB"/>
        </w:rPr>
      </w:pPr>
      <w:r w:rsidRPr="00A2538E">
        <w:rPr>
          <w:rFonts w:eastAsia="Times New Roman" w:cs="Helvetica"/>
          <w:color w:val="000000"/>
          <w:sz w:val="24"/>
          <w:szCs w:val="24"/>
          <w:lang w:val="en" w:eastAsia="en-GB"/>
        </w:rPr>
        <w:t xml:space="preserve">For more information about </w:t>
      </w:r>
      <w:r w:rsidRPr="00A2538E">
        <w:rPr>
          <w:rFonts w:eastAsia="Times New Roman" w:cs="Helvetica"/>
          <w:color w:val="000000"/>
          <w:sz w:val="24"/>
          <w:szCs w:val="24"/>
          <w:lang w:val="en" w:eastAsia="en-GB"/>
        </w:rPr>
        <w:t>Wills and Inheritance Tax</w:t>
      </w:r>
      <w:r w:rsidRPr="00A2538E">
        <w:rPr>
          <w:rFonts w:eastAsia="Times New Roman" w:cs="Helvetica"/>
          <w:color w:val="000000"/>
          <w:sz w:val="24"/>
          <w:szCs w:val="24"/>
          <w:lang w:val="en" w:eastAsia="en-GB"/>
        </w:rPr>
        <w:t xml:space="preserve"> please contact one of our experts in</w:t>
      </w:r>
      <w:r w:rsidRPr="00A2538E">
        <w:rPr>
          <w:rFonts w:cs="Arial"/>
          <w:color w:val="000000"/>
          <w:sz w:val="24"/>
          <w:szCs w:val="24"/>
        </w:rPr>
        <w:t xml:space="preserve"> our offices in </w:t>
      </w:r>
      <w:r w:rsidRPr="00A2538E">
        <w:rPr>
          <w:rFonts w:cs="Arial"/>
          <w:b/>
          <w:color w:val="000000"/>
          <w:sz w:val="24"/>
          <w:szCs w:val="24"/>
        </w:rPr>
        <w:t>Bingley, Ilkley and Bradford</w:t>
      </w:r>
      <w:r w:rsidRPr="00A2538E">
        <w:rPr>
          <w:rFonts w:cs="Arial"/>
          <w:color w:val="000000"/>
          <w:sz w:val="24"/>
          <w:szCs w:val="24"/>
        </w:rPr>
        <w:t>:-</w:t>
      </w:r>
    </w:p>
    <w:p w:rsidR="00540D1F" w:rsidRDefault="00540D1F" w:rsidP="00540D1F">
      <w:pPr>
        <w:autoSpaceDE w:val="0"/>
        <w:autoSpaceDN w:val="0"/>
        <w:adjustRightInd w:val="0"/>
        <w:spacing w:after="0" w:line="240" w:lineRule="auto"/>
        <w:rPr>
          <w:rFonts w:cs="Arial"/>
          <w:color w:val="000000"/>
          <w:sz w:val="24"/>
          <w:szCs w:val="24"/>
        </w:rPr>
      </w:pPr>
    </w:p>
    <w:p w:rsidR="00A2538E" w:rsidRPr="00A2538E" w:rsidRDefault="00A2538E" w:rsidP="00540D1F">
      <w:pPr>
        <w:autoSpaceDE w:val="0"/>
        <w:autoSpaceDN w:val="0"/>
        <w:adjustRightInd w:val="0"/>
        <w:spacing w:after="0" w:line="240" w:lineRule="auto"/>
        <w:rPr>
          <w:rFonts w:cs="Arial"/>
          <w:color w:val="000000"/>
          <w:sz w:val="24"/>
          <w:szCs w:val="24"/>
        </w:rPr>
      </w:pPr>
    </w:p>
    <w:p w:rsidR="00540D1F" w:rsidRPr="00A2538E" w:rsidRDefault="00540D1F" w:rsidP="00540D1F">
      <w:pPr>
        <w:autoSpaceDE w:val="0"/>
        <w:autoSpaceDN w:val="0"/>
        <w:adjustRightInd w:val="0"/>
        <w:spacing w:after="0" w:line="240" w:lineRule="auto"/>
        <w:rPr>
          <w:rFonts w:cs="Arial"/>
          <w:b/>
          <w:color w:val="000000"/>
          <w:sz w:val="24"/>
          <w:szCs w:val="24"/>
        </w:rPr>
      </w:pPr>
      <w:r w:rsidRPr="00A2538E">
        <w:rPr>
          <w:rFonts w:cs="Arial"/>
          <w:b/>
          <w:color w:val="000000"/>
          <w:sz w:val="24"/>
          <w:szCs w:val="24"/>
        </w:rPr>
        <w:t>Belinda Fox</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Email:</w:t>
      </w:r>
      <w:r w:rsidRPr="00A2538E">
        <w:rPr>
          <w:rFonts w:cs="Arial"/>
          <w:color w:val="000000"/>
          <w:sz w:val="24"/>
          <w:szCs w:val="24"/>
        </w:rPr>
        <w:tab/>
      </w:r>
      <w:r w:rsidRPr="00A2538E">
        <w:rPr>
          <w:rFonts w:cs="Arial"/>
          <w:color w:val="000000"/>
          <w:sz w:val="24"/>
          <w:szCs w:val="24"/>
        </w:rPr>
        <w:tab/>
      </w:r>
      <w:hyperlink r:id="rId5" w:history="1">
        <w:r w:rsidRPr="00A2538E">
          <w:rPr>
            <w:rFonts w:cs="Arial"/>
            <w:color w:val="0563C1" w:themeColor="hyperlink"/>
            <w:sz w:val="24"/>
            <w:szCs w:val="24"/>
            <w:u w:val="single"/>
          </w:rPr>
          <w:t>belinda@rdcsolicitors.co.uk</w:t>
        </w:r>
      </w:hyperlink>
      <w:r w:rsidRPr="00A2538E">
        <w:rPr>
          <w:rFonts w:cs="Arial"/>
          <w:color w:val="000000"/>
          <w:sz w:val="24"/>
          <w:szCs w:val="24"/>
        </w:rPr>
        <w:tab/>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 xml:space="preserve">Address: </w:t>
      </w:r>
      <w:r w:rsidRPr="00A2538E">
        <w:rPr>
          <w:rFonts w:cs="Arial"/>
          <w:color w:val="000000"/>
          <w:sz w:val="24"/>
          <w:szCs w:val="24"/>
        </w:rPr>
        <w:tab/>
        <w:t>RDC Solicitors</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9 New Brook Street</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Ilkley</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LS29 8DQ</w:t>
      </w:r>
    </w:p>
    <w:p w:rsidR="00540D1F"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Telephone:</w:t>
      </w:r>
      <w:r w:rsidRPr="00A2538E">
        <w:rPr>
          <w:rFonts w:cs="Arial"/>
          <w:color w:val="000000"/>
          <w:sz w:val="24"/>
          <w:szCs w:val="24"/>
        </w:rPr>
        <w:tab/>
        <w:t>01943 601173</w:t>
      </w:r>
    </w:p>
    <w:p w:rsidR="00A2538E" w:rsidRPr="00A2538E" w:rsidRDefault="00A2538E" w:rsidP="00540D1F">
      <w:pPr>
        <w:autoSpaceDE w:val="0"/>
        <w:autoSpaceDN w:val="0"/>
        <w:adjustRightInd w:val="0"/>
        <w:spacing w:after="0" w:line="240" w:lineRule="auto"/>
        <w:rPr>
          <w:rFonts w:cs="Arial"/>
          <w:color w:val="000000"/>
          <w:sz w:val="24"/>
          <w:szCs w:val="24"/>
        </w:rPr>
      </w:pPr>
    </w:p>
    <w:p w:rsidR="00540D1F" w:rsidRPr="00A2538E" w:rsidRDefault="00540D1F" w:rsidP="00540D1F">
      <w:pPr>
        <w:autoSpaceDE w:val="0"/>
        <w:autoSpaceDN w:val="0"/>
        <w:adjustRightInd w:val="0"/>
        <w:spacing w:after="0" w:line="240" w:lineRule="auto"/>
        <w:rPr>
          <w:rFonts w:cs="Arial"/>
          <w:color w:val="000000"/>
          <w:sz w:val="24"/>
          <w:szCs w:val="24"/>
        </w:rPr>
      </w:pPr>
    </w:p>
    <w:p w:rsidR="00540D1F" w:rsidRPr="00A2538E" w:rsidRDefault="00540D1F" w:rsidP="00540D1F">
      <w:pPr>
        <w:autoSpaceDE w:val="0"/>
        <w:autoSpaceDN w:val="0"/>
        <w:adjustRightInd w:val="0"/>
        <w:spacing w:after="0" w:line="240" w:lineRule="auto"/>
        <w:rPr>
          <w:rFonts w:cs="Arial"/>
          <w:b/>
          <w:color w:val="000000"/>
          <w:sz w:val="24"/>
          <w:szCs w:val="24"/>
        </w:rPr>
      </w:pPr>
      <w:r w:rsidRPr="00A2538E">
        <w:rPr>
          <w:rFonts w:cs="Arial"/>
          <w:b/>
          <w:color w:val="000000"/>
          <w:sz w:val="24"/>
          <w:szCs w:val="24"/>
        </w:rPr>
        <w:t>Sheila Mackintosh</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Email:</w:t>
      </w:r>
      <w:r w:rsidRPr="00A2538E">
        <w:rPr>
          <w:rFonts w:cs="Arial"/>
          <w:color w:val="000000"/>
          <w:sz w:val="24"/>
          <w:szCs w:val="24"/>
        </w:rPr>
        <w:tab/>
      </w:r>
      <w:r w:rsidRPr="00A2538E">
        <w:rPr>
          <w:rFonts w:cs="Arial"/>
          <w:color w:val="000000"/>
          <w:sz w:val="24"/>
          <w:szCs w:val="24"/>
        </w:rPr>
        <w:tab/>
      </w:r>
      <w:hyperlink r:id="rId6" w:history="1">
        <w:r w:rsidRPr="00A2538E">
          <w:rPr>
            <w:rFonts w:cs="Arial"/>
            <w:color w:val="0563C1" w:themeColor="hyperlink"/>
            <w:sz w:val="24"/>
            <w:szCs w:val="24"/>
            <w:u w:val="single"/>
          </w:rPr>
          <w:t>Sheila@rdcsolicitors.co.uk</w:t>
        </w:r>
      </w:hyperlink>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Address:</w:t>
      </w:r>
      <w:r w:rsidRPr="00A2538E">
        <w:rPr>
          <w:rFonts w:cs="Arial"/>
          <w:color w:val="000000"/>
          <w:sz w:val="24"/>
          <w:szCs w:val="24"/>
        </w:rPr>
        <w:tab/>
        <w:t>RDC Solicitors</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City Hub</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9-11 Peckover Street</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Little Germany</w:t>
      </w:r>
      <w:r w:rsidRPr="00A2538E">
        <w:rPr>
          <w:rFonts w:cs="Arial"/>
          <w:color w:val="000000"/>
          <w:sz w:val="24"/>
          <w:szCs w:val="24"/>
        </w:rPr>
        <w:tab/>
      </w:r>
      <w:r w:rsidRPr="00A2538E">
        <w:rPr>
          <w:rFonts w:cs="Arial"/>
          <w:color w:val="000000"/>
          <w:sz w:val="24"/>
          <w:szCs w:val="24"/>
        </w:rPr>
        <w:tab/>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Bradford</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BD1 5BD</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Telephone:</w:t>
      </w:r>
      <w:r w:rsidRPr="00A2538E">
        <w:rPr>
          <w:rFonts w:cs="Arial"/>
          <w:color w:val="000000"/>
          <w:sz w:val="24"/>
          <w:szCs w:val="24"/>
        </w:rPr>
        <w:tab/>
        <w:t>01274 735511</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r>
    </w:p>
    <w:p w:rsidR="006B7059" w:rsidRPr="00A2538E" w:rsidRDefault="006B7059" w:rsidP="00540D1F">
      <w:pPr>
        <w:autoSpaceDE w:val="0"/>
        <w:autoSpaceDN w:val="0"/>
        <w:adjustRightInd w:val="0"/>
        <w:spacing w:after="0" w:line="240" w:lineRule="auto"/>
        <w:rPr>
          <w:rFonts w:cs="Arial"/>
          <w:color w:val="000000"/>
          <w:sz w:val="24"/>
          <w:szCs w:val="24"/>
        </w:rPr>
      </w:pPr>
    </w:p>
    <w:p w:rsidR="00540D1F" w:rsidRPr="00A2538E" w:rsidRDefault="00540D1F" w:rsidP="00540D1F">
      <w:pPr>
        <w:autoSpaceDE w:val="0"/>
        <w:autoSpaceDN w:val="0"/>
        <w:adjustRightInd w:val="0"/>
        <w:spacing w:after="0" w:line="240" w:lineRule="auto"/>
        <w:rPr>
          <w:rFonts w:cs="Arial"/>
          <w:b/>
          <w:color w:val="000000"/>
          <w:sz w:val="24"/>
          <w:szCs w:val="24"/>
        </w:rPr>
      </w:pPr>
      <w:r w:rsidRPr="00A2538E">
        <w:rPr>
          <w:rFonts w:cs="Arial"/>
          <w:b/>
          <w:color w:val="000000"/>
          <w:sz w:val="24"/>
          <w:szCs w:val="24"/>
        </w:rPr>
        <w:t>Ian Cormack</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Email:</w:t>
      </w:r>
      <w:r w:rsidRPr="00A2538E">
        <w:rPr>
          <w:rFonts w:cs="Arial"/>
          <w:color w:val="000000"/>
          <w:sz w:val="24"/>
          <w:szCs w:val="24"/>
        </w:rPr>
        <w:tab/>
      </w:r>
      <w:r w:rsidRPr="00A2538E">
        <w:rPr>
          <w:rFonts w:cs="Arial"/>
          <w:color w:val="000000"/>
          <w:sz w:val="24"/>
          <w:szCs w:val="24"/>
        </w:rPr>
        <w:tab/>
      </w:r>
      <w:hyperlink r:id="rId7" w:history="1">
        <w:r w:rsidRPr="00A2538E">
          <w:rPr>
            <w:rFonts w:cs="Arial"/>
            <w:color w:val="0563C1" w:themeColor="hyperlink"/>
            <w:sz w:val="24"/>
            <w:szCs w:val="24"/>
            <w:u w:val="single"/>
          </w:rPr>
          <w:t>IanC@rdcsolicitors.co.uk</w:t>
        </w:r>
      </w:hyperlink>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Address:</w:t>
      </w:r>
      <w:r w:rsidRPr="00A2538E">
        <w:rPr>
          <w:rFonts w:cs="Arial"/>
          <w:color w:val="000000"/>
          <w:sz w:val="24"/>
          <w:szCs w:val="24"/>
        </w:rPr>
        <w:tab/>
        <w:t>RDC Solicitors</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City Hub</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9-11 Peckover Street</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Little Germany</w:t>
      </w:r>
      <w:r w:rsidRPr="00A2538E">
        <w:rPr>
          <w:rFonts w:cs="Arial"/>
          <w:color w:val="000000"/>
          <w:sz w:val="24"/>
          <w:szCs w:val="24"/>
        </w:rPr>
        <w:tab/>
      </w:r>
      <w:r w:rsidRPr="00A2538E">
        <w:rPr>
          <w:rFonts w:cs="Arial"/>
          <w:color w:val="000000"/>
          <w:sz w:val="24"/>
          <w:szCs w:val="24"/>
        </w:rPr>
        <w:tab/>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Bradford</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ab/>
      </w:r>
      <w:r w:rsidRPr="00A2538E">
        <w:rPr>
          <w:rFonts w:cs="Arial"/>
          <w:color w:val="000000"/>
          <w:sz w:val="24"/>
          <w:szCs w:val="24"/>
        </w:rPr>
        <w:tab/>
        <w:t>BD1 5BD</w:t>
      </w:r>
    </w:p>
    <w:p w:rsidR="00540D1F"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Telephone:</w:t>
      </w:r>
      <w:r w:rsidRPr="00A2538E">
        <w:rPr>
          <w:rFonts w:cs="Arial"/>
          <w:color w:val="000000"/>
          <w:sz w:val="24"/>
          <w:szCs w:val="24"/>
        </w:rPr>
        <w:tab/>
        <w:t>01274 735511</w:t>
      </w:r>
      <w:r w:rsidRPr="00A2538E">
        <w:rPr>
          <w:rFonts w:cs="Arial"/>
          <w:color w:val="000000"/>
          <w:sz w:val="24"/>
          <w:szCs w:val="24"/>
        </w:rPr>
        <w:tab/>
      </w:r>
    </w:p>
    <w:p w:rsidR="00A2538E" w:rsidRPr="00A2538E" w:rsidRDefault="00A2538E" w:rsidP="00540D1F">
      <w:pPr>
        <w:autoSpaceDE w:val="0"/>
        <w:autoSpaceDN w:val="0"/>
        <w:adjustRightInd w:val="0"/>
        <w:spacing w:after="0" w:line="240" w:lineRule="auto"/>
        <w:rPr>
          <w:rFonts w:cs="Arial"/>
          <w:color w:val="000000"/>
          <w:sz w:val="24"/>
          <w:szCs w:val="24"/>
        </w:rPr>
      </w:pPr>
      <w:bookmarkStart w:id="0" w:name="_GoBack"/>
      <w:bookmarkEnd w:id="0"/>
    </w:p>
    <w:p w:rsidR="00540D1F" w:rsidRPr="00A2538E" w:rsidRDefault="00540D1F" w:rsidP="00540D1F">
      <w:pPr>
        <w:autoSpaceDE w:val="0"/>
        <w:autoSpaceDN w:val="0"/>
        <w:adjustRightInd w:val="0"/>
        <w:spacing w:after="0" w:line="240" w:lineRule="auto"/>
        <w:rPr>
          <w:rFonts w:cs="Arial"/>
          <w:color w:val="000000"/>
          <w:sz w:val="24"/>
          <w:szCs w:val="24"/>
        </w:rPr>
      </w:pPr>
    </w:p>
    <w:p w:rsidR="00540D1F" w:rsidRPr="00A2538E" w:rsidRDefault="00540D1F" w:rsidP="00540D1F">
      <w:pPr>
        <w:autoSpaceDE w:val="0"/>
        <w:autoSpaceDN w:val="0"/>
        <w:adjustRightInd w:val="0"/>
        <w:spacing w:after="0" w:line="240" w:lineRule="auto"/>
        <w:rPr>
          <w:rFonts w:cs="Arial"/>
          <w:b/>
          <w:color w:val="000000"/>
          <w:sz w:val="24"/>
          <w:szCs w:val="24"/>
        </w:rPr>
      </w:pPr>
      <w:r w:rsidRPr="00A2538E">
        <w:rPr>
          <w:rFonts w:cs="Arial"/>
          <w:b/>
          <w:color w:val="000000"/>
          <w:sz w:val="24"/>
          <w:szCs w:val="24"/>
        </w:rPr>
        <w:t>Our Bingley Office address is:</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RDC Solicitors</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30 Park Road</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Bingley</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BD16 4JD</w:t>
      </w:r>
    </w:p>
    <w:p w:rsidR="00540D1F" w:rsidRPr="00A2538E" w:rsidRDefault="00540D1F" w:rsidP="00540D1F">
      <w:pPr>
        <w:autoSpaceDE w:val="0"/>
        <w:autoSpaceDN w:val="0"/>
        <w:adjustRightInd w:val="0"/>
        <w:spacing w:after="0" w:line="240" w:lineRule="auto"/>
        <w:rPr>
          <w:rFonts w:cs="Arial"/>
          <w:color w:val="000000"/>
          <w:sz w:val="24"/>
          <w:szCs w:val="24"/>
        </w:rPr>
      </w:pPr>
      <w:r w:rsidRPr="00A2538E">
        <w:rPr>
          <w:rFonts w:cs="Arial"/>
          <w:color w:val="000000"/>
          <w:sz w:val="24"/>
          <w:szCs w:val="24"/>
        </w:rPr>
        <w:t>Telephone: 01274 723858</w:t>
      </w:r>
    </w:p>
    <w:p w:rsidR="00E218C1" w:rsidRPr="00A2538E" w:rsidRDefault="00540D1F" w:rsidP="00540D1F">
      <w:pPr>
        <w:rPr>
          <w:sz w:val="24"/>
          <w:szCs w:val="24"/>
        </w:rPr>
      </w:pPr>
      <w:r w:rsidRPr="00A2538E">
        <w:rPr>
          <w:sz w:val="24"/>
          <w:szCs w:val="24"/>
        </w:rPr>
        <w:tab/>
      </w:r>
    </w:p>
    <w:sectPr w:rsidR="00E218C1" w:rsidRPr="00A2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0"/>
    <w:rsid w:val="00100B15"/>
    <w:rsid w:val="00283264"/>
    <w:rsid w:val="003D0BB0"/>
    <w:rsid w:val="005229C4"/>
    <w:rsid w:val="00540D1F"/>
    <w:rsid w:val="006B7059"/>
    <w:rsid w:val="009A38E0"/>
    <w:rsid w:val="00A2538E"/>
    <w:rsid w:val="00E218C1"/>
    <w:rsid w:val="00E7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5C33BCA5-3607-49D1-8868-8262E39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8E0"/>
    <w:pPr>
      <w:spacing w:before="100" w:beforeAutospacing="1" w:after="300" w:line="300" w:lineRule="atLeast"/>
    </w:pPr>
    <w:rPr>
      <w:rFonts w:ascii="Times New Roman" w:eastAsia="Times New Roman" w:hAnsi="Times New Roman" w:cs="Times New Roman"/>
      <w:sz w:val="20"/>
      <w:szCs w:val="20"/>
      <w:lang w:eastAsia="en-GB"/>
    </w:rPr>
  </w:style>
  <w:style w:type="table" w:styleId="TableGrid">
    <w:name w:val="Table Grid"/>
    <w:basedOn w:val="TableNormal"/>
    <w:uiPriority w:val="39"/>
    <w:rsid w:val="003D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20535">
      <w:bodyDiv w:val="1"/>
      <w:marLeft w:val="0"/>
      <w:marRight w:val="0"/>
      <w:marTop w:val="0"/>
      <w:marBottom w:val="0"/>
      <w:divBdr>
        <w:top w:val="none" w:sz="0" w:space="0" w:color="auto"/>
        <w:left w:val="none" w:sz="0" w:space="0" w:color="auto"/>
        <w:bottom w:val="none" w:sz="0" w:space="0" w:color="auto"/>
        <w:right w:val="none" w:sz="0" w:space="0" w:color="auto"/>
      </w:divBdr>
      <w:divsChild>
        <w:div w:id="1828520995">
          <w:marLeft w:val="0"/>
          <w:marRight w:val="0"/>
          <w:marTop w:val="0"/>
          <w:marBottom w:val="0"/>
          <w:divBdr>
            <w:top w:val="none" w:sz="0" w:space="0" w:color="auto"/>
            <w:left w:val="none" w:sz="0" w:space="0" w:color="auto"/>
            <w:bottom w:val="none" w:sz="0" w:space="0" w:color="auto"/>
            <w:right w:val="none" w:sz="0" w:space="0" w:color="auto"/>
          </w:divBdr>
          <w:divsChild>
            <w:div w:id="1614557677">
              <w:marLeft w:val="0"/>
              <w:marRight w:val="0"/>
              <w:marTop w:val="0"/>
              <w:marBottom w:val="0"/>
              <w:divBdr>
                <w:top w:val="none" w:sz="0" w:space="0" w:color="auto"/>
                <w:left w:val="none" w:sz="0" w:space="0" w:color="auto"/>
                <w:bottom w:val="none" w:sz="0" w:space="0" w:color="auto"/>
                <w:right w:val="none" w:sz="0" w:space="0" w:color="auto"/>
              </w:divBdr>
              <w:divsChild>
                <w:div w:id="1751122306">
                  <w:marLeft w:val="0"/>
                  <w:marRight w:val="0"/>
                  <w:marTop w:val="0"/>
                  <w:marBottom w:val="0"/>
                  <w:divBdr>
                    <w:top w:val="none" w:sz="0" w:space="0" w:color="auto"/>
                    <w:left w:val="none" w:sz="0" w:space="0" w:color="auto"/>
                    <w:bottom w:val="none" w:sz="0" w:space="0" w:color="auto"/>
                    <w:right w:val="none" w:sz="0" w:space="0" w:color="auto"/>
                  </w:divBdr>
                  <w:divsChild>
                    <w:div w:id="1508136942">
                      <w:marLeft w:val="0"/>
                      <w:marRight w:val="-4050"/>
                      <w:marTop w:val="0"/>
                      <w:marBottom w:val="0"/>
                      <w:divBdr>
                        <w:top w:val="none" w:sz="0" w:space="0" w:color="auto"/>
                        <w:left w:val="none" w:sz="0" w:space="0" w:color="auto"/>
                        <w:bottom w:val="none" w:sz="0" w:space="0" w:color="auto"/>
                        <w:right w:val="none" w:sz="0" w:space="0" w:color="auto"/>
                      </w:divBdr>
                      <w:divsChild>
                        <w:div w:id="27414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54930985">
      <w:bodyDiv w:val="1"/>
      <w:marLeft w:val="0"/>
      <w:marRight w:val="0"/>
      <w:marTop w:val="0"/>
      <w:marBottom w:val="0"/>
      <w:divBdr>
        <w:top w:val="none" w:sz="0" w:space="0" w:color="auto"/>
        <w:left w:val="none" w:sz="0" w:space="0" w:color="auto"/>
        <w:bottom w:val="none" w:sz="0" w:space="0" w:color="auto"/>
        <w:right w:val="none" w:sz="0" w:space="0" w:color="auto"/>
      </w:divBdr>
      <w:divsChild>
        <w:div w:id="1085877741">
          <w:marLeft w:val="0"/>
          <w:marRight w:val="0"/>
          <w:marTop w:val="0"/>
          <w:marBottom w:val="0"/>
          <w:divBdr>
            <w:top w:val="none" w:sz="0" w:space="0" w:color="auto"/>
            <w:left w:val="none" w:sz="0" w:space="0" w:color="auto"/>
            <w:bottom w:val="none" w:sz="0" w:space="0" w:color="auto"/>
            <w:right w:val="none" w:sz="0" w:space="0" w:color="auto"/>
          </w:divBdr>
          <w:divsChild>
            <w:div w:id="595600381">
              <w:marLeft w:val="0"/>
              <w:marRight w:val="0"/>
              <w:marTop w:val="0"/>
              <w:marBottom w:val="0"/>
              <w:divBdr>
                <w:top w:val="none" w:sz="0" w:space="0" w:color="auto"/>
                <w:left w:val="none" w:sz="0" w:space="0" w:color="auto"/>
                <w:bottom w:val="none" w:sz="0" w:space="0" w:color="auto"/>
                <w:right w:val="none" w:sz="0" w:space="0" w:color="auto"/>
              </w:divBdr>
              <w:divsChild>
                <w:div w:id="1127043535">
                  <w:marLeft w:val="0"/>
                  <w:marRight w:val="0"/>
                  <w:marTop w:val="0"/>
                  <w:marBottom w:val="0"/>
                  <w:divBdr>
                    <w:top w:val="none" w:sz="0" w:space="0" w:color="auto"/>
                    <w:left w:val="none" w:sz="0" w:space="0" w:color="auto"/>
                    <w:bottom w:val="none" w:sz="0" w:space="0" w:color="auto"/>
                    <w:right w:val="none" w:sz="0" w:space="0" w:color="auto"/>
                  </w:divBdr>
                  <w:divsChild>
                    <w:div w:id="174345737">
                      <w:marLeft w:val="0"/>
                      <w:marRight w:val="-4050"/>
                      <w:marTop w:val="0"/>
                      <w:marBottom w:val="0"/>
                      <w:divBdr>
                        <w:top w:val="none" w:sz="0" w:space="0" w:color="auto"/>
                        <w:left w:val="none" w:sz="0" w:space="0" w:color="auto"/>
                        <w:bottom w:val="none" w:sz="0" w:space="0" w:color="auto"/>
                        <w:right w:val="none" w:sz="0" w:space="0" w:color="auto"/>
                      </w:divBdr>
                      <w:divsChild>
                        <w:div w:id="694506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nC@rdcsolicito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ila@rdcsolicitors.co.uk" TargetMode="External"/><Relationship Id="rId5" Type="http://schemas.openxmlformats.org/officeDocument/2006/relationships/hyperlink" Target="mailto:belinda@rdcsolicitor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Cormack</dc:creator>
  <cp:keywords/>
  <dc:description/>
  <cp:lastModifiedBy>Ian Cormack</cp:lastModifiedBy>
  <cp:revision>6</cp:revision>
  <cp:lastPrinted>2017-05-02T14:55:00Z</cp:lastPrinted>
  <dcterms:created xsi:type="dcterms:W3CDTF">2017-05-02T13:48:00Z</dcterms:created>
  <dcterms:modified xsi:type="dcterms:W3CDTF">2017-05-02T14:57:00Z</dcterms:modified>
</cp:coreProperties>
</file>